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7F" w:rsidRDefault="003374C0" w:rsidP="008065AD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</w:pPr>
      <w:bookmarkStart w:id="0" w:name="_GoBack"/>
      <w:r w:rsidRPr="0089777F">
        <w:rPr>
          <w:rFonts w:ascii="inherit" w:eastAsia="Times New Roman" w:hAnsi="inherit" w:cs="Times New Roman" w:hint="eastAsia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Правила</w:t>
      </w:r>
      <w:r w:rsidRPr="0089777F">
        <w:rPr>
          <w:rFonts w:ascii="inherit" w:eastAsia="Times New Roman" w:hAnsi="inherit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89777F">
        <w:rPr>
          <w:rFonts w:ascii="inherit" w:eastAsia="Times New Roman" w:hAnsi="inherit" w:cs="Times New Roman" w:hint="eastAsia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проведения</w:t>
      </w:r>
      <w:r w:rsidR="0089777F">
        <w:rPr>
          <w:rFonts w:ascii="inherit" w:eastAsia="Times New Roman" w:hAnsi="inherit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89777F">
        <w:rPr>
          <w:rFonts w:ascii="inherit" w:eastAsia="Times New Roman" w:hAnsi="inherit" w:cs="Times New Roman" w:hint="eastAsia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Международного</w:t>
      </w:r>
      <w:r w:rsidRPr="0089777F">
        <w:rPr>
          <w:rFonts w:ascii="inherit" w:eastAsia="Times New Roman" w:hAnsi="inherit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89777F">
        <w:rPr>
          <w:rFonts w:ascii="inherit" w:eastAsia="Times New Roman" w:hAnsi="inherit" w:cs="Times New Roman" w:hint="eastAsia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молодежного</w:t>
      </w:r>
      <w:r w:rsidRPr="0089777F">
        <w:rPr>
          <w:rFonts w:ascii="inherit" w:eastAsia="Times New Roman" w:hAnsi="inherit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89777F">
        <w:rPr>
          <w:rFonts w:ascii="inherit" w:eastAsia="Times New Roman" w:hAnsi="inherit" w:cs="Times New Roman" w:hint="eastAsia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конкурса</w:t>
      </w:r>
      <w:r w:rsidRPr="0089777F">
        <w:rPr>
          <w:rFonts w:ascii="inherit" w:eastAsia="Times New Roman" w:hAnsi="inherit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89777F">
        <w:rPr>
          <w:rFonts w:ascii="inherit" w:eastAsia="Times New Roman" w:hAnsi="inherit" w:cs="Times New Roman" w:hint="eastAsia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социальной</w:t>
      </w:r>
      <w:r w:rsidRPr="0089777F">
        <w:rPr>
          <w:rFonts w:ascii="inherit" w:eastAsia="Times New Roman" w:hAnsi="inherit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89777F">
        <w:rPr>
          <w:rFonts w:ascii="inherit" w:eastAsia="Times New Roman" w:hAnsi="inherit" w:cs="Times New Roman" w:hint="eastAsia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антикоррупционной</w:t>
      </w:r>
      <w:r w:rsidRPr="0089777F">
        <w:rPr>
          <w:rFonts w:ascii="inherit" w:eastAsia="Times New Roman" w:hAnsi="inherit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89777F">
        <w:rPr>
          <w:rFonts w:ascii="inherit" w:eastAsia="Times New Roman" w:hAnsi="inherit" w:cs="Times New Roman" w:hint="eastAsia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рекламы</w:t>
      </w:r>
      <w:r w:rsidRPr="0089777F">
        <w:rPr>
          <w:rFonts w:ascii="inherit" w:eastAsia="Times New Roman" w:hAnsi="inherit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89777F">
        <w:rPr>
          <w:rFonts w:ascii="inherit" w:eastAsia="Times New Roman" w:hAnsi="inherit" w:cs="Times New Roman" w:hint="eastAsia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«вместе</w:t>
      </w:r>
      <w:r w:rsidRPr="0089777F">
        <w:rPr>
          <w:rFonts w:ascii="inherit" w:eastAsia="Times New Roman" w:hAnsi="inherit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89777F">
        <w:rPr>
          <w:rFonts w:ascii="inherit" w:eastAsia="Times New Roman" w:hAnsi="inherit" w:cs="Times New Roman" w:hint="eastAsia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против</w:t>
      </w:r>
      <w:r w:rsidRPr="0089777F">
        <w:rPr>
          <w:rFonts w:ascii="inherit" w:eastAsia="Times New Roman" w:hAnsi="inherit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  <w:r w:rsidRPr="0089777F">
        <w:rPr>
          <w:rFonts w:ascii="inherit" w:eastAsia="Times New Roman" w:hAnsi="inherit" w:cs="Times New Roman" w:hint="eastAsia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коррупции</w:t>
      </w:r>
      <w:r w:rsidRPr="0089777F">
        <w:rPr>
          <w:rFonts w:ascii="inherit" w:eastAsia="Times New Roman" w:hAnsi="inherit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!</w:t>
      </w:r>
      <w:r w:rsidRPr="0089777F">
        <w:rPr>
          <w:rFonts w:ascii="inherit" w:eastAsia="Times New Roman" w:hAnsi="inherit" w:cs="Times New Roman" w:hint="eastAsia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»</w:t>
      </w:r>
    </w:p>
    <w:bookmarkEnd w:id="0"/>
    <w:p w:rsidR="0089777F" w:rsidRPr="0089777F" w:rsidRDefault="003374C0" w:rsidP="008065AD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>
        <w:fldChar w:fldCharType="begin"/>
      </w:r>
      <w:r>
        <w:instrText xml:space="preserve"> HYPERLINK "https://www.anticorruption.life/upload/rules-files/pdf/ru-rules.pdf" </w:instrText>
      </w:r>
      <w:r>
        <w:fldChar w:fldCharType="separate"/>
      </w:r>
      <w:r w:rsidR="0089777F" w:rsidRPr="0089777F">
        <w:rPr>
          <w:rFonts w:ascii="inherit" w:eastAsia="Times New Roman" w:hAnsi="inherit" w:cs="Times New Roman"/>
          <w:b/>
          <w:bCs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Правила конкурса</w:t>
      </w:r>
      <w:r>
        <w:rPr>
          <w:rFonts w:ascii="inherit" w:eastAsia="Times New Roman" w:hAnsi="inherit" w:cs="Times New Roman"/>
          <w:b/>
          <w:bCs/>
          <w:color w:val="000000"/>
          <w:spacing w:val="6"/>
          <w:sz w:val="24"/>
          <w:szCs w:val="24"/>
          <w:bdr w:val="none" w:sz="0" w:space="0" w:color="auto" w:frame="1"/>
          <w:lang w:eastAsia="ru-RU"/>
        </w:rPr>
        <w:fldChar w:fldCharType="end"/>
      </w:r>
    </w:p>
    <w:p w:rsidR="0089777F" w:rsidRPr="0089777F" w:rsidRDefault="0089777F" w:rsidP="008065AD">
      <w:pPr>
        <w:shd w:val="clear" w:color="auto" w:fill="EFD3D1"/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89777F" w:rsidRPr="0089777F" w:rsidRDefault="0089777F" w:rsidP="008065AD">
      <w:pPr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pacing w:val="6"/>
          <w:sz w:val="27"/>
          <w:szCs w:val="27"/>
          <w:lang w:eastAsia="ru-RU"/>
        </w:rPr>
      </w:pPr>
      <w:r w:rsidRPr="0089777F">
        <w:rPr>
          <w:rFonts w:ascii="inherit" w:eastAsia="Times New Roman" w:hAnsi="inherit" w:cs="Arial"/>
          <w:b/>
          <w:bCs/>
          <w:color w:val="000000"/>
          <w:spacing w:val="6"/>
          <w:sz w:val="27"/>
          <w:szCs w:val="27"/>
          <w:lang w:eastAsia="ru-RU"/>
        </w:rPr>
        <w:t>I. Общие положения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1.1. Настоящие правила (далее – Правила) определяют порядок проведения Международного молодежного конкурса социальной антикоррупционной рекламы «Вместе против коррупции!» (далее – Конкурс), в том числе условия участия в Конкурсе, критерии оценки работ, представленных для участия в Конкурсе (далее – Конкурсная работа) и определения финалистов (победителей и призеров) Конкурса.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1.2. Конкурс проводится Межгосударственным советом по противодействию коррупции (далее – </w:t>
      </w:r>
      <w:proofErr w:type="spellStart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Межгоссовет</w:t>
      </w:r>
      <w:proofErr w:type="spellEnd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).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1.3. Головным организатором Конкурса является Генеральная прокуратура Российской Федерации (далее – Организатор). </w:t>
      </w:r>
      <w:proofErr w:type="spellStart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Соорганизаторами</w:t>
      </w:r>
      <w:proofErr w:type="spellEnd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Конкурса выступают: Генеральная прокуратура Республики Армения, Генеральная прокуратура Республики Беларусь, Генеральная прокуратура </w:t>
      </w:r>
      <w:proofErr w:type="spellStart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Кыргызской</w:t>
      </w:r>
      <w:proofErr w:type="spellEnd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Республики, Агентство Республики Казахстан по противодействию коррупции, Агентство по государственному финансовому контролю и борьбе с коррупцией Республики Таджикистан (далее – </w:t>
      </w:r>
      <w:proofErr w:type="spellStart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Соорганизаторы</w:t>
      </w:r>
      <w:proofErr w:type="spellEnd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).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1.4. Участниками Конкурса могут быть граждане государств – участников Соглашения об образовании </w:t>
      </w:r>
      <w:proofErr w:type="spellStart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Межгоссовета</w:t>
      </w:r>
      <w:proofErr w:type="spellEnd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, так и иных государств в возрасте от 10 до 25 лет (авторы – физические лица или творческие коллективы).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1.5. Номинации Конкурса: «Лучший плакат», «Лучший рисунок» и «Лучший видеоролик».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1.6. Тема: «Вместе против коррупции!».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1.7. Конкурсные работы (плакаты, рисунки и видеоролики) принимаются на сайте конкурса </w:t>
      </w:r>
      <w:hyperlink r:id="rId5" w:tgtFrame="_blank" w:history="1">
        <w:r w:rsidRPr="0089777F">
          <w:rPr>
            <w:rFonts w:ascii="Times New Roman" w:eastAsia="Times New Roman" w:hAnsi="Times New Roman" w:cs="Times New Roman"/>
            <w:b/>
            <w:bCs/>
            <w:color w:val="3B8527"/>
            <w:spacing w:val="6"/>
            <w:sz w:val="24"/>
            <w:szCs w:val="24"/>
            <w:u w:val="single"/>
            <w:bdr w:val="none" w:sz="0" w:space="0" w:color="auto" w:frame="1"/>
            <w:lang w:eastAsia="ru-RU"/>
          </w:rPr>
          <w:t>www.anticorruption.life</w:t>
        </w:r>
      </w:hyperlink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на русском языке.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Допустимо представление конкурсных работ на национальном языке конкурсантов с обязательным переводом на русский язык (плакаты и рисунки должны содержать пояснительный текст, видеоролики – смонтированные субтитры).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1.8. Начало приема конкурсных работ – </w:t>
      </w:r>
      <w:r w:rsidRPr="0089777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01.05.2025</w:t>
      </w: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(с 10:00 по московскому времени); окончание – </w:t>
      </w:r>
      <w:r w:rsidRPr="0089777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01.10.2025</w:t>
      </w: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(в 18:00 по московскому времени).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1.9. Информирование целевой аудитории о Конкурсе, его целях, задачах и условиях проведения возлагается на Организатора и </w:t>
      </w:r>
      <w:proofErr w:type="spellStart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Соорганизаторов</w:t>
      </w:r>
      <w:proofErr w:type="spellEnd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Конкурса.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1.10. Участие в Конкурсе является бесплатным.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II. Цели и задачи конкурса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2.1. Цели Конкурса – привлечение внимания подрастающего поколения к проблемам коррупции; поощрение и поддержка творческих инициатив детей и молодежи в создании социальной антикоррупционной рекламы; укрепление практики взаимодействия общества с органами власти в борьбе с коррупцией.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2.2. Задачи конкурса:</w:t>
      </w:r>
    </w:p>
    <w:p w:rsidR="0089777F" w:rsidRPr="0089777F" w:rsidRDefault="0089777F" w:rsidP="008065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антикоррупционное правовое просвещение населения; развитие в обществе нетерпимого отношения к коррупционным проявлениям;</w:t>
      </w:r>
    </w:p>
    <w:p w:rsidR="0089777F" w:rsidRPr="0089777F" w:rsidRDefault="0089777F" w:rsidP="008065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привлечение внимания общественности к вопросам противодействия коррупции;</w:t>
      </w:r>
    </w:p>
    <w:p w:rsidR="0089777F" w:rsidRPr="0089777F" w:rsidRDefault="0089777F" w:rsidP="008065A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укрепление доверия к органам прокуратуры и иным государственным органам, осуществляющим деятельность в сфере борьбы с коррупцией; формирование позитивного отношения к проводимой ими работе.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III. Регистрация участников конкурса. </w:t>
      </w:r>
      <w:r w:rsidRPr="0089777F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br/>
        <w:t>Технические требования к конкурсным работам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3.1. Для участия в Конкурсе необходимо пройти регистрацию на официальном сайте конкурса, корректно заполнить регистрационную форму и подтвердить свое согласие с Правилами </w:t>
      </w: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lastRenderedPageBreak/>
        <w:t>конкурса и дать согласие на обработку персональных данных. Конкурсные работы в электронном виде загружаются через личный кабинет на официальном сайте конкурса </w:t>
      </w:r>
      <w:hyperlink r:id="rId6" w:history="1">
        <w:r w:rsidRPr="0089777F">
          <w:rPr>
            <w:rFonts w:ascii="Times New Roman" w:eastAsia="Times New Roman" w:hAnsi="Times New Roman" w:cs="Times New Roman"/>
            <w:color w:val="3B8527"/>
            <w:spacing w:val="6"/>
            <w:sz w:val="24"/>
            <w:szCs w:val="24"/>
            <w:u w:val="single"/>
            <w:bdr w:val="none" w:sz="0" w:space="0" w:color="auto" w:frame="1"/>
            <w:lang w:eastAsia="ru-RU"/>
          </w:rPr>
          <w:t>www.anticorruption.life</w:t>
        </w:r>
      </w:hyperlink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. При этом зарегистрированный участник Конкурса должен являться непосредственным автором конкурсной работы либо одним из соавторов творческого коллектива. Для участников в возрасте от 10 до 17 лет регистрация может осуществляться самостоятельно либо законным представителем (попечителем).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 случае признания участника победителем или призером конкурса необходимо подтвердить указанные при регистрации персональные данные с предъявлением документов, удостоверяющих личность.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3.2. На Конкурс принимаются работы в номинациях: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3.2.1. «Лучший плакат» (выполненный графическим способом, с помощью компьютерных программ, планшетов, стилусов). Форматы предоставления файла: JPG, разрешение в соответствии с форматом А3 (297x420 </w:t>
      </w:r>
      <w:proofErr w:type="spellStart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mm</w:t>
      </w:r>
      <w:proofErr w:type="spellEnd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) с корректным соотношением сторон и разрешением 300 </w:t>
      </w:r>
      <w:proofErr w:type="spellStart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dpi</w:t>
      </w:r>
      <w:proofErr w:type="spellEnd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, физический размер одного файла не более 15 Мб. Количество: не более 10 файлов;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3.2.2. «Лучший рисунок» (выполненный ручным способом при помощи принадлежностей для рисования – карандаш, фломастер, мелки, краски, </w:t>
      </w:r>
      <w:proofErr w:type="spellStart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скетчмаркеры</w:t>
      </w:r>
      <w:proofErr w:type="spellEnd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, сепия, сангина, уголь, тушь, капиллярные ручки). Форматы предоставления файла: JPG, разрешение в соответствии с форматом А3 (297x420 мм) с корректным соотношением сторон и разрешением 300 </w:t>
      </w:r>
      <w:proofErr w:type="spellStart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dpi</w:t>
      </w:r>
      <w:proofErr w:type="spellEnd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, физический размер одного файла не более 15 Мб. Количество: не более 10 файлов;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3.2.3. «Лучший видеоролик». Форматы предоставления файла: mp4, разрешение не более 3840x2160 </w:t>
      </w:r>
      <w:proofErr w:type="spellStart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рx</w:t>
      </w:r>
      <w:proofErr w:type="spellEnd"/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, физический размер файла не более 300 Мб. Длительность – не более 120 сек. Звук: 16 бит, стерео. Количество – не более 10 файлов.</w:t>
      </w:r>
    </w:p>
    <w:p w:rsidR="0089777F" w:rsidRPr="0089777F" w:rsidRDefault="0089777F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977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3.3. Конкурсные работы в обязательном порядке должны содержать авторское название, пояснительный текст (для плакатов и рисунков) или смонтированные субтитры (для видеороликов) на русском языке и по возможности на английском языке, информацию о фамилии, имени, возрасте автора (название творческого коллектива), государстве.</w:t>
      </w:r>
    </w:p>
    <w:p w:rsidR="00D1410C" w:rsidRPr="001A63DC" w:rsidRDefault="00D1410C" w:rsidP="00806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48D" w:rsidRPr="001A63DC" w:rsidRDefault="0062448D" w:rsidP="00806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3D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B42E845" wp14:editId="5985D8C0">
            <wp:extent cx="4600575" cy="6562944"/>
            <wp:effectExtent l="0" t="0" r="0" b="9525"/>
            <wp:docPr id="1" name="Рисунок 1" descr="https://www.anticorruption.life/upload/rules-files/img/rules-sub-example-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ticorruption.life/upload/rules-files/img/rules-sub-example-ru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13" cy="656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3.4. Ограничения.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Конкурсные работы не должны содержать:</w:t>
      </w:r>
    </w:p>
    <w:p w:rsidR="0062448D" w:rsidRPr="0062448D" w:rsidRDefault="0062448D" w:rsidP="008065AD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текст, сюжеты, действия сценических лиц и персонажей, противоречащие внутреннему праву государств, граждане которых являются участниками Конкурса, дискредитирующие работу органов государственной власти и органов местного самоуправления, а также оскорбляющие религиозные чувства граждан;</w:t>
      </w:r>
    </w:p>
    <w:p w:rsidR="0062448D" w:rsidRPr="0062448D" w:rsidRDefault="0062448D" w:rsidP="008065AD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62448D" w:rsidRPr="0062448D" w:rsidRDefault="0062448D" w:rsidP="008065AD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62448D" w:rsidRPr="0062448D" w:rsidRDefault="0062448D" w:rsidP="008065AD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изображения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виды обнаженных людей,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экстремистской деятельности;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lastRenderedPageBreak/>
        <w:t>Не допускается:</w:t>
      </w:r>
    </w:p>
    <w:p w:rsidR="0062448D" w:rsidRPr="0062448D" w:rsidRDefault="0062448D" w:rsidP="008065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использование чужих текстов, видео- и аудиоматериалов (плагиат), за исключением случаев цитирования произведений </w:t>
      </w:r>
      <w:proofErr w:type="gramStart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 допустимых законодательством</w:t>
      </w:r>
      <w:proofErr w:type="gramEnd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об авторском праве пределах;</w:t>
      </w:r>
    </w:p>
    <w:p w:rsidR="0062448D" w:rsidRPr="0062448D" w:rsidRDefault="0062448D" w:rsidP="008065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использование систем и технологий искусственного интеллекта;</w:t>
      </w:r>
    </w:p>
    <w:p w:rsidR="0062448D" w:rsidRPr="0062448D" w:rsidRDefault="0062448D" w:rsidP="008065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размещение одной и той же работы несколько раз;</w:t>
      </w:r>
    </w:p>
    <w:p w:rsidR="0062448D" w:rsidRPr="0062448D" w:rsidRDefault="0062448D" w:rsidP="008065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размещение работ предыдущих периодов;</w:t>
      </w:r>
    </w:p>
    <w:p w:rsidR="0062448D" w:rsidRPr="0062448D" w:rsidRDefault="0062448D" w:rsidP="008065AD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размещение фотографии работы с посторонними предметами на ней, а также на фоне человека.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 случае несоблюдения данных ограничений работа не допускается к участию в Конкурсе.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3.5. Конкурсные работы не возвращаются и не рецензируются.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3.6. Организатор и </w:t>
      </w:r>
      <w:proofErr w:type="spellStart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Соорганизаторы</w:t>
      </w:r>
      <w:proofErr w:type="spellEnd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Конкурса, иные компетентные органы самостоятельно обеспечивают обратную связь с конкурсантами из своей страны для решения текущих организационных вопросов.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3.7. На официальном сайте Конкурса после 9.12.2025 для общего просмотра Организатором публикуются лучшие конкурсные работы, отобранные Национальными конкурсными комиссиями (иными компетентными органами) государств, граждане которых являются участниками Конкурса, в соответствии с пунктом 4.4 настоящих Правил.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IV.  Порядок и сроки проведения Конкурса. Проверка и оценка конкурсных работ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4.1. Конкурс проводится по трем номинациям</w:t>
      </w:r>
    </w:p>
    <w:p w:rsidR="0062448D" w:rsidRPr="0062448D" w:rsidRDefault="0062448D" w:rsidP="008065AD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«Лучший плакат»;</w:t>
      </w:r>
    </w:p>
    <w:p w:rsidR="0062448D" w:rsidRPr="0062448D" w:rsidRDefault="0062448D" w:rsidP="008065AD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«Лучший рисунок»;</w:t>
      </w:r>
    </w:p>
    <w:p w:rsidR="0062448D" w:rsidRPr="0062448D" w:rsidRDefault="0062448D" w:rsidP="008065AD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«Лучший видеоролик».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 трех возрастных группах:</w:t>
      </w:r>
    </w:p>
    <w:p w:rsidR="0062448D" w:rsidRPr="0062448D" w:rsidRDefault="0062448D" w:rsidP="008065AD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от 10 до 15 лет;</w:t>
      </w:r>
    </w:p>
    <w:p w:rsidR="0062448D" w:rsidRPr="0062448D" w:rsidRDefault="0062448D" w:rsidP="008065AD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от 16 до 20 лет;</w:t>
      </w:r>
    </w:p>
    <w:p w:rsidR="0062448D" w:rsidRPr="0062448D" w:rsidRDefault="0062448D" w:rsidP="008065AD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от 21 до 25 лет.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4.2. Конкурсные работы проверяются по следующим критериям: соответствие заявленной тематике, техническим требованиям и ограничениям, указанным в разделе III настоящих Правил; аргументированность и глубина раскрытия темы; креативность, новизна идеи и качество исполнения работы; точность и доходчивость языка и стиля изложения; потенциальная возможность дальнейшего использования в качестве социальной антикоррупционной рекламы.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Конкурс проводится в два этапа – полуфинал и финал.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4.3. Полуфинал Конкурса (01.05.2025 – 25.10.2025)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Проводится отдельно в каждом из государств, граждане которых являются участниками Конкурса.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Отбор конкурсных работ, подготовленных участниками из Республики Армения, Республики Беларусь, Республики Казахстан, </w:t>
      </w:r>
      <w:proofErr w:type="spellStart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Кыргызской</w:t>
      </w:r>
      <w:proofErr w:type="spellEnd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Республики, Российской Федерации, Республики Таджикистан, в рамках полуфинала обеспечивается Национальными конкурсными комиссиями, формируемыми компетентными органами этих государств.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Отбор конкурсных работ, подготовленных участниками из других иностранных государств, в рамках полуфинала обеспечивается Национальными конкурсными комиссиями или компетентными органами этих государств (далее – иные компетентные органы). В случае, если указанными органами не будет изъявлено желание принять участие в проверке и оценке конкурсных работ, их отбор в рамках полуфинала обеспечивается Национальной конкурсной комиссией Российской Федерации.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Национальные конкурсные комиссии (иные компетентные органы) определяют победителей (I места) и призеров (II и III места) полуфинала Конкурса в каждой номинации и возрастной группе.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Конкурсные работы, занявшие первые места по итогам полуфинала (победители), проходят в финал Конкурса.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4.4. Национальные конкурсные комиссии (иные компетентные органы) в срок до 25.10.2025 по электронной почте </w:t>
      </w:r>
      <w:hyperlink r:id="rId8" w:history="1">
        <w:r w:rsidRPr="0062448D">
          <w:rPr>
            <w:rFonts w:ascii="Times New Roman" w:eastAsia="Times New Roman" w:hAnsi="Times New Roman" w:cs="Times New Roman"/>
            <w:color w:val="3B8527"/>
            <w:spacing w:val="6"/>
            <w:sz w:val="24"/>
            <w:szCs w:val="24"/>
            <w:u w:val="single"/>
            <w:bdr w:val="none" w:sz="0" w:space="0" w:color="auto" w:frame="1"/>
            <w:lang w:eastAsia="ru-RU"/>
          </w:rPr>
          <w:t>orgkonkurs@anticorruption.life</w:t>
        </w:r>
      </w:hyperlink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направляют Организатору конкурсные работы с указанием регистрационных номеров (плакаты, рисунки и видеоролики), занявшие первые места по итогам национального отбора (во всех номинациях и возрастных группах) и сведения об их авторах (фамилия, имя, возраст, страна, контактный телефон и адрес электронной почты) – для организации их участия в финале Конкурса.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lastRenderedPageBreak/>
        <w:t>В этот же срок Национальные конкурсные комиссии (иные компетентные органы) представляют Организатору «10 лучших плакатов», «10 лучших рисунков» и «10 лучших видеороликов» (с указанием регистрационных номеров и сведений об авторах) для их размещения на официальном сайте Конкурса </w:t>
      </w:r>
      <w:hyperlink r:id="rId9" w:history="1">
        <w:r w:rsidRPr="0062448D">
          <w:rPr>
            <w:rFonts w:ascii="Times New Roman" w:eastAsia="Times New Roman" w:hAnsi="Times New Roman" w:cs="Times New Roman"/>
            <w:color w:val="3B8527"/>
            <w:spacing w:val="6"/>
            <w:sz w:val="24"/>
            <w:szCs w:val="24"/>
            <w:u w:val="single"/>
            <w:bdr w:val="none" w:sz="0" w:space="0" w:color="auto" w:frame="1"/>
            <w:lang w:eastAsia="ru-RU"/>
          </w:rPr>
          <w:t>www.anticorruption.life</w:t>
        </w:r>
      </w:hyperlink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 (в разделе «Галерея работ») и использования при подготовке различных выставок (экспозиций).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Компетентные органы государств, не принимающих участие в проверке и оценке конкурсных работ от своей страны, обеспечивают их направление в Генеральную прокуратуру Российской Федерации не позднее 10 октября для отбора Национальной конкурсной комиссией Российской Федерации в рамках полуфинала.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4.5. Финал Конкурса (25.10.2025 – 25.11.2025).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Победители (I места) и призеры (II и III места) финала Конкурса в каждой номинации и возрастной группе определяются Международным жюри путем голосования по 5-балльной шкале. Голосование членов Международного жюри производится дистанционно с использованием ресурса официального сайта Конкурса </w:t>
      </w:r>
      <w:hyperlink r:id="rId10" w:history="1">
        <w:r w:rsidRPr="0062448D">
          <w:rPr>
            <w:rFonts w:ascii="Times New Roman" w:eastAsia="Times New Roman" w:hAnsi="Times New Roman" w:cs="Times New Roman"/>
            <w:color w:val="3B8527"/>
            <w:spacing w:val="6"/>
            <w:sz w:val="24"/>
            <w:szCs w:val="24"/>
            <w:u w:val="single"/>
            <w:bdr w:val="none" w:sz="0" w:space="0" w:color="auto" w:frame="1"/>
            <w:lang w:eastAsia="ru-RU"/>
          </w:rPr>
          <w:t>www.anticorruption.life</w:t>
        </w:r>
      </w:hyperlink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 отношении каждой из прошедших в финал конкурсных работ член Международного жюри от конкретного государства, граждане которого являются участниками Конкурса, может проголосовать единожды по балльной шкале от 1 до 5 (5 – это наивысший балл). При этом член Международного жюри не может голосовать за работы конкурсантов из своей страны.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4.6. Победители и призеры Конкурса в каждой номинации и возрастной группе определяются в зависимости от наивысшего среднего балла, набранного по результатам голосования Международного жюри.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 случае получения несколькими конкурсными работами равного количества баллов по итогам голосования Международного жюри, призовые места присуждаются авторам (творческим коллективам) каждой из этих конкурсных работ.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Национальные конкурсные комиссии (иные компетентные органы) и Международное жюри вправе не признать ни одного из участников Конкурса победителем в конкретной номинации, а также возрастной группе Конкурса, в случае, если их работы не соответствуют критериям, изложенным в пункте 4.1 и 4.2 настоящих Правил.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br/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V. Национальные конкурсные комиссии, Международное жюри конкурса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5.1. Национальные конкурсные комиссии формируются самостоятельно Организатором и </w:t>
      </w:r>
      <w:proofErr w:type="spellStart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Соорганизаторами</w:t>
      </w:r>
      <w:proofErr w:type="spellEnd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Конкурса, а также компетентными органами государств, не являющихся участниками Соглашения об образовании </w:t>
      </w:r>
      <w:proofErr w:type="spellStart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Межгоссовета</w:t>
      </w:r>
      <w:proofErr w:type="spellEnd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, для отбора работ и определения победителей полуфинала Конкурса.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Порядок проведения полуфинала Конкурса, формирования состава Национальных конкурсных комиссий, их деятельности и оценки конкурсных работ, награждения победителей полуфинала в каждой стране определяется государствами, граждане которых являются участниками Конкурса самостоятельно.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Рекомендуется включение в состав Национальных конкурсных комиссий представителей органов, осуществляющих деятельность в сфере противодействия коррупции; институтов гражданского общества; высших учебных заведений в области культуры и искусства; экспертов по социальной рекламе.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5.2. Организатор формирует Международное жюри Конкурса, в состав которого входят по одному кандидату от Генеральной прокуратуры Республики Армения; Генеральной прокуратуры Республики Беларусь; Генеральной прокуратуры </w:t>
      </w:r>
      <w:proofErr w:type="spellStart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Кыргызской</w:t>
      </w:r>
      <w:proofErr w:type="spellEnd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Республики; Генеральной прокуратуры Российской Федерации; Агентства Республики Казахстан по противодействию коррупции; Агентства по государственному финансовому контролю и борьбе с коррупцией Республики Таджикистан. Кроме того, Организатор Конкурса может пригласить для участия в работе Международного жюри Конкурса экспертов высокого уровня (руководителей профильных международных организаций), представителей компетентных, прежде всего антикоррупционных, органов иностранных государств, не являющихся участниками Соглашения об образовании </w:t>
      </w:r>
      <w:proofErr w:type="spellStart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Межгоссовета</w:t>
      </w:r>
      <w:proofErr w:type="spellEnd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VI. Подведение итогов конкурса. Награждение победителей и призеров конкурса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lastRenderedPageBreak/>
        <w:t>6.1. Подведение итогов Конкурса, объявление победителей и призеров конкурса приурочено к Международному дню борьбы с коррупцией (9 декабря).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6.2. Победители и призеры Конкурса награждаются почетными медалями с символикой конкурса, сувенирной продукцией, электронными сертификатами (всем участникам Конкурса, соответствующим критериям, изложенным в пунктах 4.1 и 4.2 настоящих Правил), а также иными призами, определяемыми Организатором и, при необходимости, </w:t>
      </w:r>
      <w:proofErr w:type="spellStart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Соорганизаторами</w:t>
      </w:r>
      <w:proofErr w:type="spellEnd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Конкурса.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VII. Дополнительные положения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7.1. Представляя работу на Конкурс, каждый участник гарантирует, что является правообладателем конкурсной работы и подтверждает, что не нарушает интеллектуальные права третьих лиц.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За нарушение интеллектуальных прав третьих лиц участники Конкурса несут ответственность, предусмотренную действующим международным и национальным законодательством.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7.2. Организатор и </w:t>
      </w:r>
      <w:proofErr w:type="spellStart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Соорганизаторы</w:t>
      </w:r>
      <w:proofErr w:type="spellEnd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, иные компетентные органы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7.3. Участник Конкурса разрешает Организатору и </w:t>
      </w:r>
      <w:proofErr w:type="spellStart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Соорганизаторам</w:t>
      </w:r>
      <w:proofErr w:type="spellEnd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, иным компетентным органам внесение в 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7.4. Организатор и </w:t>
      </w:r>
      <w:proofErr w:type="spellStart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Соорганизаторы</w:t>
      </w:r>
      <w:proofErr w:type="spellEnd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, иные компетентные органы вправе использовать конкурсные работы (в том числе в качестве социальной антикоррупционной рекламы) в следующих формах: размещение на интернет-платформах, в средствах массовой информации, социальных сетях, в рамках выставок, форумов и других мероприятий. Организатор и </w:t>
      </w:r>
      <w:proofErr w:type="spellStart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Соорганизаторы</w:t>
      </w:r>
      <w:proofErr w:type="spellEnd"/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, иные компетентные органы не обязаны предоставлять отчеты об использовании конкурсных работ.</w:t>
      </w:r>
    </w:p>
    <w:p w:rsidR="0062448D" w:rsidRPr="0062448D" w:rsidRDefault="0062448D" w:rsidP="008065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6244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7.5. В случае обращения конкурсантов и представителей компетентных органов государств – участников Конкурса к Организаторам обратная связь с ними осуществляется на русском языке на официальном сайте Конкурса в разделе «Контакты».</w:t>
      </w:r>
    </w:p>
    <w:p w:rsidR="0062448D" w:rsidRPr="001A63DC" w:rsidRDefault="0062448D" w:rsidP="001A63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448D" w:rsidRPr="001A63DC" w:rsidSect="001A6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360D"/>
    <w:multiLevelType w:val="multilevel"/>
    <w:tmpl w:val="88A2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D6C48"/>
    <w:multiLevelType w:val="multilevel"/>
    <w:tmpl w:val="86D0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778A0"/>
    <w:multiLevelType w:val="multilevel"/>
    <w:tmpl w:val="C7D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028CE"/>
    <w:multiLevelType w:val="multilevel"/>
    <w:tmpl w:val="22CC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235CC"/>
    <w:multiLevelType w:val="multilevel"/>
    <w:tmpl w:val="353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86F7B"/>
    <w:multiLevelType w:val="multilevel"/>
    <w:tmpl w:val="2F40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7A"/>
    <w:rsid w:val="001A63DC"/>
    <w:rsid w:val="003374C0"/>
    <w:rsid w:val="004830A3"/>
    <w:rsid w:val="0062448D"/>
    <w:rsid w:val="008065AD"/>
    <w:rsid w:val="0089777F"/>
    <w:rsid w:val="00C22C7A"/>
    <w:rsid w:val="00D1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AEC032-CA80-4D75-838E-ACE921CD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719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45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595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643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kurs@anticorruption.li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corruption.lif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nticorruption.life/" TargetMode="External"/><Relationship Id="rId10" Type="http://schemas.openxmlformats.org/officeDocument/2006/relationships/hyperlink" Target="http://www.anticorruption.lif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corruption.li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2441</Words>
  <Characters>13920</Characters>
  <Application>Microsoft Office Word</Application>
  <DocSecurity>0</DocSecurity>
  <Lines>116</Lines>
  <Paragraphs>32</Paragraphs>
  <ScaleCrop>false</ScaleCrop>
  <Company/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Царегородцева</dc:creator>
  <cp:keywords/>
  <dc:description/>
  <cp:lastModifiedBy>Пользователь Windows</cp:lastModifiedBy>
  <cp:revision>7</cp:revision>
  <dcterms:created xsi:type="dcterms:W3CDTF">2025-09-19T07:26:00Z</dcterms:created>
  <dcterms:modified xsi:type="dcterms:W3CDTF">2025-09-19T09:23:00Z</dcterms:modified>
</cp:coreProperties>
</file>